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96DC" w14:textId="417C660E" w:rsidR="0015439F" w:rsidRDefault="00FD53A4" w:rsidP="0015439F">
      <w:pPr>
        <w:jc w:val="center"/>
        <w:rPr>
          <w:color w:val="004A98"/>
        </w:rPr>
      </w:pPr>
      <w:r>
        <w:rPr>
          <w:noProof/>
        </w:rPr>
        <w:drawing>
          <wp:inline distT="0" distB="0" distL="0" distR="0" wp14:anchorId="0E994D4E" wp14:editId="2771D16E">
            <wp:extent cx="1543050" cy="833017"/>
            <wp:effectExtent l="0" t="0" r="0" b="0"/>
            <wp:docPr id="1172497353" name="Picture 1" descr="DEQ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2497353" name="Picture 1" descr="DEQ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83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DBC661" w14:textId="5096CB27" w:rsidR="00A52A22" w:rsidRDefault="005C294F" w:rsidP="00A52A22">
      <w:pPr>
        <w:jc w:val="center"/>
        <w:rPr>
          <w:rFonts w:ascii="Calibri" w:eastAsiaTheme="majorEastAsia" w:hAnsi="Calibri" w:cstheme="majorBidi"/>
          <w:b/>
          <w:caps/>
          <w:color w:val="004A98"/>
          <w:sz w:val="36"/>
          <w:szCs w:val="32"/>
        </w:rPr>
      </w:pPr>
      <w:r>
        <w:rPr>
          <w:rFonts w:ascii="Calibri" w:eastAsiaTheme="majorEastAsia" w:hAnsi="Calibri" w:cstheme="majorBidi"/>
          <w:b/>
          <w:caps/>
          <w:color w:val="004A98"/>
          <w:sz w:val="36"/>
          <w:szCs w:val="32"/>
        </w:rPr>
        <w:t>Wellhead Control Zone Management</w:t>
      </w:r>
    </w:p>
    <w:p w14:paraId="4BC538AA" w14:textId="504C3CBE" w:rsidR="00262CFE" w:rsidRDefault="00394D84" w:rsidP="00394D84">
      <w:pPr>
        <w:jc w:val="center"/>
      </w:pPr>
      <w:r>
        <w:rPr>
          <w:color w:val="004A98"/>
        </w:rPr>
        <w:t>Fact Sheet SWP-</w:t>
      </w:r>
      <w:r w:rsidR="005C294F">
        <w:rPr>
          <w:color w:val="004A98"/>
        </w:rPr>
        <w:t>207</w:t>
      </w:r>
    </w:p>
    <w:p w14:paraId="1D6AF247" w14:textId="19BE69E1" w:rsidR="00FD53A4" w:rsidRDefault="00A246ED" w:rsidP="00FD53A4">
      <w:pPr>
        <w:rPr>
          <w:color w:val="004A9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98022C5" wp14:editId="2C67213A">
                <wp:simplePos x="0" y="0"/>
                <wp:positionH relativeFrom="margin">
                  <wp:align>center</wp:align>
                </wp:positionH>
                <wp:positionV relativeFrom="paragraph">
                  <wp:posOffset>149860</wp:posOffset>
                </wp:positionV>
                <wp:extent cx="8086725" cy="266700"/>
                <wp:effectExtent l="0" t="38100" r="47625" b="0"/>
                <wp:wrapNone/>
                <wp:docPr id="1233426964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86725" cy="266700"/>
                          <a:chOff x="0" y="0"/>
                          <a:chExt cx="8086725" cy="266700"/>
                        </a:xfrm>
                      </wpg:grpSpPr>
                      <wps:wsp>
                        <wps:cNvPr id="1404864824" name="Straight Connector 8"/>
                        <wps:cNvCnPr/>
                        <wps:spPr>
                          <a:xfrm>
                            <a:off x="0" y="0"/>
                            <a:ext cx="8086725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9ADE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24867136" name="Isosceles Triangle 9"/>
                        <wps:cNvSpPr/>
                        <wps:spPr>
                          <a:xfrm rot="10800000">
                            <a:off x="3857625" y="38100"/>
                            <a:ext cx="428625" cy="228600"/>
                          </a:xfrm>
                          <a:prstGeom prst="triangle">
                            <a:avLst/>
                          </a:prstGeom>
                          <a:solidFill>
                            <a:srgbClr val="009AD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418504" id="Group 10" o:spid="_x0000_s1026" alt="&quot;&quot;" style="position:absolute;margin-left:0;margin-top:11.8pt;width:636.75pt;height:21pt;z-index:251659776;mso-position-horizontal:center;mso-position-horizontal-relative:margin" coordsize="80867,2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">
                <v:line id="Straight Connector 8" o:spid="_x0000_s1027" style="position:absolute;visibility:visible;mso-wrap-style:square" from="0,0" to="808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" strokecolor="#009ade" strokeweight="6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9" o:spid="_x0000_s1028" type="#_x0000_t5" style="position:absolute;left:38576;top:381;width:4286;height:2286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" fillcolor="#009ade" stroked="f" strokeweight="1pt"/>
                <w10:wrap anchorx="margin"/>
              </v:group>
            </w:pict>
          </mc:Fallback>
        </mc:AlternateContent>
      </w:r>
    </w:p>
    <w:p w14:paraId="2ADD6097" w14:textId="2FF0C30C" w:rsidR="00FD53A4" w:rsidRDefault="00FD53A4" w:rsidP="00FD53A4">
      <w:pPr>
        <w:rPr>
          <w:color w:val="004A98"/>
        </w:rPr>
      </w:pPr>
    </w:p>
    <w:p w14:paraId="6B674B19" w14:textId="77777777" w:rsidR="00CB4DB7" w:rsidRPr="005C294F" w:rsidRDefault="00CB4DB7" w:rsidP="00441F2F">
      <w:pPr>
        <w:rPr>
          <w:color w:val="004A98"/>
          <w:sz w:val="24"/>
          <w:szCs w:val="24"/>
        </w:rPr>
      </w:pPr>
    </w:p>
    <w:p w14:paraId="3DCEA915" w14:textId="77777777" w:rsidR="005C294F" w:rsidRPr="005C294F" w:rsidRDefault="005C294F" w:rsidP="005C294F">
      <w:pPr>
        <w:rPr>
          <w:color w:val="004A98"/>
          <w:sz w:val="24"/>
          <w:szCs w:val="24"/>
        </w:rPr>
      </w:pPr>
      <w:r w:rsidRPr="005C294F">
        <w:rPr>
          <w:color w:val="004A98"/>
          <w:sz w:val="24"/>
          <w:szCs w:val="24"/>
        </w:rPr>
        <w:t xml:space="preserve">The control zone is the area within 100 feet of a wellhead. Certain activities are disallowed within this area, and the public water supply must be able to prevent them. </w:t>
      </w:r>
    </w:p>
    <w:p w14:paraId="2F1BB167" w14:textId="77777777" w:rsidR="00782811" w:rsidRPr="005C294F" w:rsidRDefault="00782811" w:rsidP="002B66A8">
      <w:pPr>
        <w:rPr>
          <w:rStyle w:val="Hyperlink"/>
          <w:color w:val="004A98"/>
          <w:sz w:val="24"/>
          <w:szCs w:val="24"/>
          <w:u w:val="none"/>
        </w:rPr>
      </w:pPr>
    </w:p>
    <w:p w14:paraId="6E560318" w14:textId="0FF6D034" w:rsidR="00A52A22" w:rsidRPr="005C294F" w:rsidRDefault="005C294F" w:rsidP="00A52A22">
      <w:pPr>
        <w:rPr>
          <w:rFonts w:ascii="Calibri" w:eastAsiaTheme="majorEastAsia" w:hAnsi="Calibri" w:cstheme="majorBidi"/>
          <w:b/>
          <w:bCs/>
          <w:iCs/>
          <w:smallCaps/>
          <w:sz w:val="36"/>
          <w:szCs w:val="28"/>
        </w:rPr>
      </w:pPr>
      <w:r w:rsidRPr="005C294F">
        <w:rPr>
          <w:rFonts w:ascii="Calibri" w:eastAsiaTheme="majorEastAsia" w:hAnsi="Calibri" w:cstheme="majorBidi"/>
          <w:b/>
          <w:bCs/>
          <w:iCs/>
          <w:smallCaps/>
          <w:sz w:val="36"/>
          <w:szCs w:val="28"/>
        </w:rPr>
        <w:t>Control Zone Restrictions</w:t>
      </w:r>
    </w:p>
    <w:p w14:paraId="5A03E084" w14:textId="77777777" w:rsidR="005C294F" w:rsidRPr="005C294F" w:rsidRDefault="005C294F" w:rsidP="005C294F">
      <w:pPr>
        <w:ind w:left="1584"/>
        <w:rPr>
          <w:iCs/>
          <w:color w:val="004A98"/>
          <w:sz w:val="24"/>
          <w:szCs w:val="24"/>
        </w:rPr>
      </w:pPr>
    </w:p>
    <w:p w14:paraId="6BE47488" w14:textId="539D70F9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septic system, wastewater disposal system, sewer pipe, sewage lift station, French drain, or class V injection well, shall be located within the WELL CONTROL ZONE. (1)</w:t>
      </w:r>
    </w:p>
    <w:p w14:paraId="36576C6F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stormwater conveyance or retention structures, injection well, grass infiltration swale, or other stormwater structures shall be located within the WELL CONTROL ZONE. (1)</w:t>
      </w:r>
    </w:p>
    <w:p w14:paraId="52E7AEDF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groundwater mixing zone shall encroach on the WELL CONTROL ZONE</w:t>
      </w:r>
    </w:p>
    <w:p w14:paraId="1D2C84F8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 xml:space="preserve">No hazardous substances as defined by 75-10-602 MCA, gasoline, liquid fuels, petroleum products, or solvents shall be used or stored within the WELL CONTROL </w:t>
      </w:r>
      <w:proofErr w:type="gramStart"/>
      <w:r w:rsidRPr="005C294F">
        <w:rPr>
          <w:iCs/>
          <w:color w:val="004A98"/>
          <w:sz w:val="24"/>
          <w:szCs w:val="24"/>
        </w:rPr>
        <w:t>ZONE.(</w:t>
      </w:r>
      <w:proofErr w:type="gramEnd"/>
      <w:r w:rsidRPr="005C294F">
        <w:rPr>
          <w:iCs/>
          <w:color w:val="004A98"/>
          <w:sz w:val="24"/>
          <w:szCs w:val="24"/>
        </w:rPr>
        <w:t>2)</w:t>
      </w:r>
    </w:p>
    <w:p w14:paraId="4FF5DD68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livestock shall be confined, fed, watered, or maintained within the WELL CONTROL ZONE.</w:t>
      </w:r>
    </w:p>
    <w:p w14:paraId="263BCB48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private well shall be constructed within the WELL CONTROL ZONE.</w:t>
      </w:r>
    </w:p>
    <w:p w14:paraId="5EF23D3B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No roadway or roadway easement shall be constructed or maintained within the WELL CONTROL ZONE.</w:t>
      </w:r>
    </w:p>
    <w:p w14:paraId="0E23E37E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Activities that may threaten the quality of water in the WELL CONTROL ZONE are prohibited (3).</w:t>
      </w:r>
    </w:p>
    <w:p w14:paraId="11DB1133" w14:textId="77777777" w:rsidR="005C294F" w:rsidRPr="005C294F" w:rsidRDefault="005C294F" w:rsidP="005C294F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Maintenance of land with the WELL CONTROL ZONE shall be accomplished only by mechanical means.</w:t>
      </w:r>
    </w:p>
    <w:p w14:paraId="76C7A2B8" w14:textId="1AD9CDC7" w:rsidR="00A52A22" w:rsidRPr="005C294F" w:rsidRDefault="005C294F" w:rsidP="00EE53C6">
      <w:pPr>
        <w:numPr>
          <w:ilvl w:val="0"/>
          <w:numId w:val="20"/>
        </w:num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The application of fertilizers shall be at agronomic rates and applied only during the growing season within the WELL CONTROL ZONE.</w:t>
      </w:r>
    </w:p>
    <w:p w14:paraId="5BEB48BD" w14:textId="77777777" w:rsidR="005C294F" w:rsidRPr="005C294F" w:rsidRDefault="005C294F" w:rsidP="005C294F">
      <w:pPr>
        <w:ind w:left="1584"/>
        <w:rPr>
          <w:iCs/>
          <w:color w:val="004A98"/>
          <w:sz w:val="24"/>
          <w:szCs w:val="24"/>
        </w:rPr>
      </w:pPr>
    </w:p>
    <w:p w14:paraId="214AB18A" w14:textId="77777777" w:rsidR="005C294F" w:rsidRPr="005C294F" w:rsidRDefault="005C294F" w:rsidP="005C294F">
      <w:p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 xml:space="preserve">(1) Deviations considered for conveyances or retention structures where aquifer is not susceptible, e.g. confined conditions with strong upward gradient.  Upward gradient should be evident under peak pumping conditions. </w:t>
      </w:r>
    </w:p>
    <w:p w14:paraId="4989BBF2" w14:textId="77777777" w:rsidR="005C294F" w:rsidRPr="005C294F" w:rsidRDefault="005C294F" w:rsidP="005C294F">
      <w:p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(2) Deviation to tank restriction considered where double contained tanks are used for back-up power generation fuel.</w:t>
      </w:r>
    </w:p>
    <w:p w14:paraId="43FC1153" w14:textId="77777777" w:rsidR="005C294F" w:rsidRPr="005C294F" w:rsidRDefault="005C294F" w:rsidP="005C294F">
      <w:pPr>
        <w:rPr>
          <w:iCs/>
          <w:color w:val="004A98"/>
          <w:sz w:val="24"/>
          <w:szCs w:val="24"/>
        </w:rPr>
      </w:pPr>
      <w:r w:rsidRPr="005C294F">
        <w:rPr>
          <w:iCs/>
          <w:color w:val="004A98"/>
          <w:sz w:val="24"/>
          <w:szCs w:val="24"/>
        </w:rPr>
        <w:t>(3) Top of casing must be maintained at least 18” above the ground surface.</w:t>
      </w:r>
    </w:p>
    <w:p w14:paraId="20DA7907" w14:textId="77777777" w:rsidR="005C294F" w:rsidRPr="005C294F" w:rsidRDefault="005C294F" w:rsidP="005C294F">
      <w:pPr>
        <w:rPr>
          <w:iCs/>
          <w:color w:val="004A98"/>
          <w:sz w:val="24"/>
          <w:szCs w:val="24"/>
        </w:rPr>
      </w:pPr>
    </w:p>
    <w:p w14:paraId="2F2FB0C6" w14:textId="77777777" w:rsidR="005C294F" w:rsidRPr="005C294F" w:rsidRDefault="005C294F" w:rsidP="005C294F">
      <w:pPr>
        <w:rPr>
          <w:iCs/>
          <w:color w:val="004A98"/>
          <w:sz w:val="24"/>
          <w:szCs w:val="24"/>
        </w:rPr>
      </w:pPr>
    </w:p>
    <w:sectPr w:rsidR="005C294F" w:rsidRPr="005C294F" w:rsidSect="00EE53C6">
      <w:footerReference w:type="default" r:id="rId12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43BDC" w14:textId="77777777" w:rsidR="00D55B6B" w:rsidRDefault="00D55B6B" w:rsidP="00EE3DD5">
      <w:r>
        <w:separator/>
      </w:r>
    </w:p>
  </w:endnote>
  <w:endnote w:type="continuationSeparator" w:id="0">
    <w:p w14:paraId="05765B12" w14:textId="77777777" w:rsidR="00D55B6B" w:rsidRDefault="00D55B6B" w:rsidP="00EE3DD5">
      <w:r>
        <w:continuationSeparator/>
      </w:r>
    </w:p>
  </w:endnote>
  <w:endnote w:type="continuationNotice" w:id="1">
    <w:p w14:paraId="4764BD74" w14:textId="77777777" w:rsidR="00D55B6B" w:rsidRDefault="00D55B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1643" w14:textId="50CA3566" w:rsidR="00101FBE" w:rsidRDefault="00101FBE" w:rsidP="00101FBE">
    <w:pPr>
      <w:pStyle w:val="Footer"/>
      <w:jc w:val="center"/>
    </w:pPr>
    <w:r>
      <w:rPr>
        <w:noProof/>
        <w:color w:val="004A98"/>
      </w:rPr>
      <w:drawing>
        <wp:inline distT="0" distB="0" distL="0" distR="0" wp14:anchorId="786F5D99" wp14:editId="6366A4BA">
          <wp:extent cx="3341914" cy="812890"/>
          <wp:effectExtent l="0" t="0" r="0" b="0"/>
          <wp:docPr id="2015624052" name="Picture 1" descr="Horizontal DEQ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624052" name="Picture 1" descr="Horizontal DEQ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1914" cy="812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06E8B" w14:textId="77777777" w:rsidR="00D55B6B" w:rsidRDefault="00D55B6B" w:rsidP="00EE3DD5">
      <w:r>
        <w:separator/>
      </w:r>
    </w:p>
  </w:footnote>
  <w:footnote w:type="continuationSeparator" w:id="0">
    <w:p w14:paraId="0A7E3C64" w14:textId="77777777" w:rsidR="00D55B6B" w:rsidRDefault="00D55B6B" w:rsidP="00EE3DD5">
      <w:r>
        <w:continuationSeparator/>
      </w:r>
    </w:p>
  </w:footnote>
  <w:footnote w:type="continuationNotice" w:id="1">
    <w:p w14:paraId="4221F094" w14:textId="77777777" w:rsidR="00D55B6B" w:rsidRDefault="00D55B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97723"/>
    <w:multiLevelType w:val="hybridMultilevel"/>
    <w:tmpl w:val="B5DAE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C7559"/>
    <w:multiLevelType w:val="hybridMultilevel"/>
    <w:tmpl w:val="36608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D507F"/>
    <w:multiLevelType w:val="hybridMultilevel"/>
    <w:tmpl w:val="0820F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36F59"/>
    <w:multiLevelType w:val="hybridMultilevel"/>
    <w:tmpl w:val="FFF282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A5066"/>
    <w:multiLevelType w:val="hybridMultilevel"/>
    <w:tmpl w:val="5650A58C"/>
    <w:lvl w:ilvl="0" w:tplc="FDC40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6916DC"/>
    <w:multiLevelType w:val="hybridMultilevel"/>
    <w:tmpl w:val="85AE0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E1E"/>
    <w:multiLevelType w:val="hybridMultilevel"/>
    <w:tmpl w:val="B4FA6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450F2"/>
    <w:multiLevelType w:val="hybridMultilevel"/>
    <w:tmpl w:val="3A4AA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3155"/>
    <w:multiLevelType w:val="hybridMultilevel"/>
    <w:tmpl w:val="8EE2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253E3"/>
    <w:multiLevelType w:val="hybridMultilevel"/>
    <w:tmpl w:val="F2F061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36BB8"/>
    <w:multiLevelType w:val="hybridMultilevel"/>
    <w:tmpl w:val="794CE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C7A9B"/>
    <w:multiLevelType w:val="hybridMultilevel"/>
    <w:tmpl w:val="A68E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C18F7"/>
    <w:multiLevelType w:val="multilevel"/>
    <w:tmpl w:val="0318EF22"/>
    <w:lvl w:ilvl="0">
      <w:start w:val="1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47EC733D"/>
    <w:multiLevelType w:val="hybridMultilevel"/>
    <w:tmpl w:val="7C506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C536E"/>
    <w:multiLevelType w:val="hybridMultilevel"/>
    <w:tmpl w:val="EDE4C8C8"/>
    <w:lvl w:ilvl="0" w:tplc="04090009">
      <w:start w:val="1"/>
      <w:numFmt w:val="bullet"/>
      <w:lvlText w:val=""/>
      <w:lvlJc w:val="left"/>
      <w:pPr>
        <w:ind w:left="1584" w:hanging="8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0AE710B"/>
    <w:multiLevelType w:val="hybridMultilevel"/>
    <w:tmpl w:val="C52A8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568E6"/>
    <w:multiLevelType w:val="hybridMultilevel"/>
    <w:tmpl w:val="FC505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8645F"/>
    <w:multiLevelType w:val="hybridMultilevel"/>
    <w:tmpl w:val="D20A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875D9"/>
    <w:multiLevelType w:val="hybridMultilevel"/>
    <w:tmpl w:val="D2823D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763E6"/>
    <w:multiLevelType w:val="hybridMultilevel"/>
    <w:tmpl w:val="700CF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648404">
    <w:abstractNumId w:val="12"/>
  </w:num>
  <w:num w:numId="2" w16cid:durableId="1212841264">
    <w:abstractNumId w:val="15"/>
  </w:num>
  <w:num w:numId="3" w16cid:durableId="1271858556">
    <w:abstractNumId w:val="9"/>
  </w:num>
  <w:num w:numId="4" w16cid:durableId="1977566321">
    <w:abstractNumId w:val="18"/>
  </w:num>
  <w:num w:numId="5" w16cid:durableId="1437018301">
    <w:abstractNumId w:val="7"/>
  </w:num>
  <w:num w:numId="6" w16cid:durableId="1996834029">
    <w:abstractNumId w:val="19"/>
  </w:num>
  <w:num w:numId="7" w16cid:durableId="660741885">
    <w:abstractNumId w:val="3"/>
  </w:num>
  <w:num w:numId="8" w16cid:durableId="1846894254">
    <w:abstractNumId w:val="2"/>
  </w:num>
  <w:num w:numId="9" w16cid:durableId="339701694">
    <w:abstractNumId w:val="1"/>
  </w:num>
  <w:num w:numId="10" w16cid:durableId="2032606395">
    <w:abstractNumId w:val="17"/>
  </w:num>
  <w:num w:numId="11" w16cid:durableId="2049721873">
    <w:abstractNumId w:val="11"/>
  </w:num>
  <w:num w:numId="12" w16cid:durableId="485054770">
    <w:abstractNumId w:val="5"/>
  </w:num>
  <w:num w:numId="13" w16cid:durableId="1406878337">
    <w:abstractNumId w:val="8"/>
  </w:num>
  <w:num w:numId="14" w16cid:durableId="753746290">
    <w:abstractNumId w:val="16"/>
  </w:num>
  <w:num w:numId="15" w16cid:durableId="979267164">
    <w:abstractNumId w:val="6"/>
  </w:num>
  <w:num w:numId="16" w16cid:durableId="1512989594">
    <w:abstractNumId w:val="13"/>
  </w:num>
  <w:num w:numId="17" w16cid:durableId="272565922">
    <w:abstractNumId w:val="0"/>
  </w:num>
  <w:num w:numId="18" w16cid:durableId="1474983331">
    <w:abstractNumId w:val="10"/>
  </w:num>
  <w:num w:numId="19" w16cid:durableId="486939515">
    <w:abstractNumId w:val="4"/>
  </w:num>
  <w:num w:numId="20" w16cid:durableId="1652860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D20"/>
    <w:rsid w:val="00014979"/>
    <w:rsid w:val="00021C6E"/>
    <w:rsid w:val="00056740"/>
    <w:rsid w:val="00074C91"/>
    <w:rsid w:val="00077B46"/>
    <w:rsid w:val="0008770D"/>
    <w:rsid w:val="000A0480"/>
    <w:rsid w:val="000A4CE4"/>
    <w:rsid w:val="000B4A62"/>
    <w:rsid w:val="00101FBE"/>
    <w:rsid w:val="0010247D"/>
    <w:rsid w:val="00144A93"/>
    <w:rsid w:val="0015439F"/>
    <w:rsid w:val="00160CCA"/>
    <w:rsid w:val="0016254F"/>
    <w:rsid w:val="00164DA4"/>
    <w:rsid w:val="00165619"/>
    <w:rsid w:val="001746A3"/>
    <w:rsid w:val="00175A30"/>
    <w:rsid w:val="001966BC"/>
    <w:rsid w:val="001A3C65"/>
    <w:rsid w:val="001B5ACF"/>
    <w:rsid w:val="001D148C"/>
    <w:rsid w:val="001E158F"/>
    <w:rsid w:val="001E624C"/>
    <w:rsid w:val="00223FE0"/>
    <w:rsid w:val="00233EB7"/>
    <w:rsid w:val="00234457"/>
    <w:rsid w:val="00240E59"/>
    <w:rsid w:val="00262CFE"/>
    <w:rsid w:val="00283A89"/>
    <w:rsid w:val="00293828"/>
    <w:rsid w:val="002A47E3"/>
    <w:rsid w:val="002B66A8"/>
    <w:rsid w:val="002C4EFC"/>
    <w:rsid w:val="002E4FB1"/>
    <w:rsid w:val="002F6747"/>
    <w:rsid w:val="00300D5F"/>
    <w:rsid w:val="003337D0"/>
    <w:rsid w:val="00342F7B"/>
    <w:rsid w:val="00346D5A"/>
    <w:rsid w:val="003814C2"/>
    <w:rsid w:val="003920B2"/>
    <w:rsid w:val="00393737"/>
    <w:rsid w:val="00394D84"/>
    <w:rsid w:val="0039559D"/>
    <w:rsid w:val="0039642E"/>
    <w:rsid w:val="003C0470"/>
    <w:rsid w:val="003D0E9B"/>
    <w:rsid w:val="003F3757"/>
    <w:rsid w:val="00427253"/>
    <w:rsid w:val="00435970"/>
    <w:rsid w:val="00436264"/>
    <w:rsid w:val="00441F2F"/>
    <w:rsid w:val="004452E9"/>
    <w:rsid w:val="00453D71"/>
    <w:rsid w:val="00466657"/>
    <w:rsid w:val="00482D9A"/>
    <w:rsid w:val="004935E4"/>
    <w:rsid w:val="004A28CC"/>
    <w:rsid w:val="004B06EB"/>
    <w:rsid w:val="004C034C"/>
    <w:rsid w:val="004C1086"/>
    <w:rsid w:val="004C132D"/>
    <w:rsid w:val="004C290A"/>
    <w:rsid w:val="00514A1B"/>
    <w:rsid w:val="005666D0"/>
    <w:rsid w:val="00591BF9"/>
    <w:rsid w:val="00597C82"/>
    <w:rsid w:val="005A2BBC"/>
    <w:rsid w:val="005C294F"/>
    <w:rsid w:val="005C4C84"/>
    <w:rsid w:val="005C6CC1"/>
    <w:rsid w:val="005E53EA"/>
    <w:rsid w:val="005E58F4"/>
    <w:rsid w:val="00610304"/>
    <w:rsid w:val="00611150"/>
    <w:rsid w:val="0061668D"/>
    <w:rsid w:val="00667B58"/>
    <w:rsid w:val="006B487A"/>
    <w:rsid w:val="006F1F70"/>
    <w:rsid w:val="00707526"/>
    <w:rsid w:val="007506A9"/>
    <w:rsid w:val="00756627"/>
    <w:rsid w:val="00757E1F"/>
    <w:rsid w:val="0076084D"/>
    <w:rsid w:val="00782811"/>
    <w:rsid w:val="00793897"/>
    <w:rsid w:val="007B1B96"/>
    <w:rsid w:val="007B1DC4"/>
    <w:rsid w:val="007E1A5A"/>
    <w:rsid w:val="00805725"/>
    <w:rsid w:val="00831E07"/>
    <w:rsid w:val="00847BA7"/>
    <w:rsid w:val="00856461"/>
    <w:rsid w:val="008565AC"/>
    <w:rsid w:val="008644FF"/>
    <w:rsid w:val="00874764"/>
    <w:rsid w:val="008748DB"/>
    <w:rsid w:val="00881DAF"/>
    <w:rsid w:val="008965A9"/>
    <w:rsid w:val="008A3AFB"/>
    <w:rsid w:val="008B7200"/>
    <w:rsid w:val="008D545C"/>
    <w:rsid w:val="008E3381"/>
    <w:rsid w:val="00930C6B"/>
    <w:rsid w:val="00955485"/>
    <w:rsid w:val="0095566F"/>
    <w:rsid w:val="00961D31"/>
    <w:rsid w:val="00990A89"/>
    <w:rsid w:val="009C1852"/>
    <w:rsid w:val="009C686B"/>
    <w:rsid w:val="009E595D"/>
    <w:rsid w:val="009E7234"/>
    <w:rsid w:val="00A246ED"/>
    <w:rsid w:val="00A31130"/>
    <w:rsid w:val="00A3286C"/>
    <w:rsid w:val="00A47BB8"/>
    <w:rsid w:val="00A52A22"/>
    <w:rsid w:val="00AA02E6"/>
    <w:rsid w:val="00AB0919"/>
    <w:rsid w:val="00AD693D"/>
    <w:rsid w:val="00AE3508"/>
    <w:rsid w:val="00AF2716"/>
    <w:rsid w:val="00B0771F"/>
    <w:rsid w:val="00B07C7A"/>
    <w:rsid w:val="00B11051"/>
    <w:rsid w:val="00B132B1"/>
    <w:rsid w:val="00B26EA0"/>
    <w:rsid w:val="00B3074A"/>
    <w:rsid w:val="00B446FC"/>
    <w:rsid w:val="00B84814"/>
    <w:rsid w:val="00BC5A96"/>
    <w:rsid w:val="00BE35D0"/>
    <w:rsid w:val="00BF1F5A"/>
    <w:rsid w:val="00BF6473"/>
    <w:rsid w:val="00C51DEA"/>
    <w:rsid w:val="00C72612"/>
    <w:rsid w:val="00C806E6"/>
    <w:rsid w:val="00CB4DB7"/>
    <w:rsid w:val="00CD7056"/>
    <w:rsid w:val="00CD7B11"/>
    <w:rsid w:val="00CE1153"/>
    <w:rsid w:val="00CF2625"/>
    <w:rsid w:val="00D360C5"/>
    <w:rsid w:val="00D5283F"/>
    <w:rsid w:val="00D54628"/>
    <w:rsid w:val="00D55B6B"/>
    <w:rsid w:val="00D63D20"/>
    <w:rsid w:val="00D7198A"/>
    <w:rsid w:val="00D8464A"/>
    <w:rsid w:val="00DD62FB"/>
    <w:rsid w:val="00E04DB4"/>
    <w:rsid w:val="00E56496"/>
    <w:rsid w:val="00E66E9F"/>
    <w:rsid w:val="00E7167D"/>
    <w:rsid w:val="00E76645"/>
    <w:rsid w:val="00E83CE5"/>
    <w:rsid w:val="00ED49C5"/>
    <w:rsid w:val="00EE3DD5"/>
    <w:rsid w:val="00EE53C6"/>
    <w:rsid w:val="00F1376F"/>
    <w:rsid w:val="00F35A0D"/>
    <w:rsid w:val="00F60B3C"/>
    <w:rsid w:val="00F60F38"/>
    <w:rsid w:val="00F713F2"/>
    <w:rsid w:val="00F72F21"/>
    <w:rsid w:val="00F85F0A"/>
    <w:rsid w:val="00F95DB5"/>
    <w:rsid w:val="00FC40F7"/>
    <w:rsid w:val="00FD45C7"/>
    <w:rsid w:val="00FD51A8"/>
    <w:rsid w:val="00FD53A4"/>
    <w:rsid w:val="00FF29E2"/>
    <w:rsid w:val="28E6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A4BC4"/>
  <w15:chartTrackingRefBased/>
  <w15:docId w15:val="{8531A5D9-D3CC-405B-B492-6329DC3FA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Q Body Text"/>
    <w:qFormat/>
    <w:rsid w:val="004B06EB"/>
    <w:pPr>
      <w:spacing w:after="0" w:line="240" w:lineRule="auto"/>
    </w:pPr>
  </w:style>
  <w:style w:type="paragraph" w:styleId="Heading1">
    <w:name w:val="heading 1"/>
    <w:aliases w:val="Heading 1 DEQ"/>
    <w:basedOn w:val="Normal"/>
    <w:link w:val="Heading1Char"/>
    <w:uiPriority w:val="1"/>
    <w:qFormat/>
    <w:rsid w:val="009C1852"/>
    <w:pPr>
      <w:keepNext/>
      <w:keepLines/>
      <w:widowControl w:val="0"/>
      <w:spacing w:after="320"/>
      <w:outlineLvl w:val="0"/>
    </w:pPr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paragraph" w:styleId="Heading2">
    <w:name w:val="heading 2"/>
    <w:aliases w:val="Heading 2 DEQ"/>
    <w:basedOn w:val="Normal"/>
    <w:next w:val="Normal"/>
    <w:link w:val="Heading2Char"/>
    <w:uiPriority w:val="2"/>
    <w:qFormat/>
    <w:rsid w:val="009C1852"/>
    <w:pPr>
      <w:keepNext/>
      <w:keepLines/>
      <w:widowControl w:val="0"/>
      <w:spacing w:after="120"/>
      <w:outlineLvl w:val="1"/>
    </w:pPr>
    <w:rPr>
      <w:rFonts w:ascii="Calibri" w:eastAsiaTheme="majorEastAsia" w:hAnsi="Calibri" w:cstheme="majorBidi"/>
      <w:b/>
      <w:smallCaps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482D9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82D9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9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D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28C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28C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DEQ Char"/>
    <w:basedOn w:val="DefaultParagraphFont"/>
    <w:link w:val="Heading1"/>
    <w:uiPriority w:val="1"/>
    <w:rsid w:val="00BE35D0"/>
    <w:rPr>
      <w:rFonts w:ascii="Calibri" w:eastAsiaTheme="majorEastAsia" w:hAnsi="Calibri" w:cstheme="majorBidi"/>
      <w:b/>
      <w:caps/>
      <w:color w:val="004A98"/>
      <w:sz w:val="36"/>
      <w:szCs w:val="32"/>
    </w:rPr>
  </w:style>
  <w:style w:type="character" w:customStyle="1" w:styleId="Heading2Char">
    <w:name w:val="Heading 2 Char"/>
    <w:aliases w:val="Heading 2 DEQ Char"/>
    <w:basedOn w:val="DefaultParagraphFont"/>
    <w:link w:val="Heading2"/>
    <w:uiPriority w:val="2"/>
    <w:rsid w:val="00BE35D0"/>
    <w:rPr>
      <w:rFonts w:ascii="Calibri" w:eastAsiaTheme="majorEastAsia" w:hAnsi="Calibri" w:cstheme="majorBidi"/>
      <w:b/>
      <w:smallCaps/>
      <w:sz w:val="32"/>
      <w:szCs w:val="26"/>
    </w:rPr>
  </w:style>
  <w:style w:type="paragraph" w:customStyle="1" w:styleId="Heading3DEQ">
    <w:name w:val="Heading 3 DEQ"/>
    <w:basedOn w:val="Heading3"/>
    <w:link w:val="Heading3DEQChar"/>
    <w:uiPriority w:val="2"/>
    <w:qFormat/>
    <w:rsid w:val="00B07C7A"/>
    <w:pPr>
      <w:widowControl w:val="0"/>
      <w:spacing w:before="0" w:after="120"/>
    </w:pPr>
    <w:rPr>
      <w:rFonts w:ascii="Calibri" w:hAnsi="Calibri"/>
      <w:b/>
      <w:color w:val="004A98"/>
      <w:sz w:val="28"/>
    </w:rPr>
  </w:style>
  <w:style w:type="paragraph" w:customStyle="1" w:styleId="Heading4DEQ">
    <w:name w:val="Heading 4 DEQ"/>
    <w:basedOn w:val="Heading4"/>
    <w:link w:val="Heading4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  <w:sz w:val="26"/>
    </w:rPr>
  </w:style>
  <w:style w:type="character" w:customStyle="1" w:styleId="Heading3DEQChar">
    <w:name w:val="Heading 3 DEQ Char"/>
    <w:basedOn w:val="Heading3Char"/>
    <w:link w:val="Heading3DEQ"/>
    <w:uiPriority w:val="2"/>
    <w:rsid w:val="00B07C7A"/>
    <w:rPr>
      <w:rFonts w:ascii="Calibri" w:eastAsiaTheme="majorEastAsia" w:hAnsi="Calibri" w:cstheme="majorBidi"/>
      <w:b/>
      <w:color w:val="004A98"/>
      <w:sz w:val="28"/>
      <w:szCs w:val="24"/>
    </w:rPr>
  </w:style>
  <w:style w:type="paragraph" w:customStyle="1" w:styleId="Heading5-8DEQ">
    <w:name w:val="Heading 5-8 DEQ"/>
    <w:basedOn w:val="Heading5"/>
    <w:link w:val="Heading5-8DEQChar"/>
    <w:uiPriority w:val="2"/>
    <w:qFormat/>
    <w:rsid w:val="004A28CC"/>
    <w:pPr>
      <w:widowControl w:val="0"/>
      <w:spacing w:before="0"/>
    </w:pPr>
    <w:rPr>
      <w:rFonts w:ascii="Calibri" w:hAnsi="Calibri"/>
      <w:b/>
      <w:color w:val="aut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9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482D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DEQChar">
    <w:name w:val="Heading 4 DEQ Char"/>
    <w:basedOn w:val="Heading4Char"/>
    <w:link w:val="Heading4DEQ"/>
    <w:uiPriority w:val="2"/>
    <w:rsid w:val="00BE35D0"/>
    <w:rPr>
      <w:rFonts w:ascii="Calibri" w:eastAsiaTheme="majorEastAsia" w:hAnsi="Calibri" w:cstheme="majorBidi"/>
      <w:b/>
      <w:i/>
      <w:iCs/>
      <w:color w:val="2F5496" w:themeColor="accent1" w:themeShade="BF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9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Strong">
    <w:name w:val="Strong"/>
    <w:basedOn w:val="DefaultParagraphFont"/>
    <w:uiPriority w:val="22"/>
    <w:rsid w:val="00164DA4"/>
    <w:rPr>
      <w:b/>
      <w:bCs/>
    </w:rPr>
  </w:style>
  <w:style w:type="character" w:customStyle="1" w:styleId="Heading5-8DEQChar">
    <w:name w:val="Heading 5-8 DEQ Char"/>
    <w:basedOn w:val="Heading5Char"/>
    <w:link w:val="Heading5-8DEQ"/>
    <w:uiPriority w:val="2"/>
    <w:rsid w:val="00BE35D0"/>
    <w:rPr>
      <w:rFonts w:ascii="Calibri" w:eastAsiaTheme="majorEastAsia" w:hAnsi="Calibri" w:cstheme="majorBidi"/>
      <w:b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DA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8C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4A28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E3DD5"/>
  </w:style>
  <w:style w:type="paragraph" w:styleId="Footer">
    <w:name w:val="footer"/>
    <w:basedOn w:val="Normal"/>
    <w:link w:val="FooterChar"/>
    <w:uiPriority w:val="99"/>
    <w:unhideWhenUsed/>
    <w:rsid w:val="00EE3D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DD5"/>
  </w:style>
  <w:style w:type="character" w:styleId="Hyperlink">
    <w:name w:val="Hyperlink"/>
    <w:basedOn w:val="DefaultParagraphFont"/>
    <w:uiPriority w:val="99"/>
    <w:unhideWhenUsed/>
    <w:rsid w:val="00514A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4A1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A31130"/>
    <w:pPr>
      <w:widowControl/>
      <w:spacing w:before="240" w:after="0" w:line="259" w:lineRule="auto"/>
      <w:outlineLvl w:val="9"/>
    </w:pPr>
    <w:rPr>
      <w:rFonts w:asciiTheme="majorHAnsi" w:hAnsiTheme="majorHAnsi"/>
      <w:b w:val="0"/>
      <w:caps w:val="0"/>
      <w:color w:val="2F5496" w:themeColor="accent1" w:themeShade="BF"/>
      <w:kern w:val="0"/>
      <w:sz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3113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3113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31130"/>
    <w:pPr>
      <w:spacing w:after="100"/>
      <w:ind w:left="440"/>
    </w:pPr>
  </w:style>
  <w:style w:type="table" w:styleId="GridTable2-Accent6">
    <w:name w:val="Grid Table 2 Accent 6"/>
    <w:basedOn w:val="TableNormal"/>
    <w:uiPriority w:val="47"/>
    <w:rsid w:val="00E04DB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Light">
    <w:name w:val="Grid Table Light"/>
    <w:basedOn w:val="TableNormal"/>
    <w:uiPriority w:val="40"/>
    <w:rsid w:val="00E04D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rsid w:val="00C72612"/>
    <w:pPr>
      <w:ind w:left="720"/>
      <w:contextualSpacing/>
    </w:pPr>
  </w:style>
  <w:style w:type="character" w:customStyle="1" w:styleId="wacimagecontainer">
    <w:name w:val="wacimagecontainer"/>
    <w:basedOn w:val="DefaultParagraphFont"/>
    <w:rsid w:val="00B446FC"/>
  </w:style>
  <w:style w:type="character" w:customStyle="1" w:styleId="normaltextrun">
    <w:name w:val="normaltextrun"/>
    <w:basedOn w:val="DefaultParagraphFont"/>
    <w:rsid w:val="00293828"/>
  </w:style>
  <w:style w:type="character" w:customStyle="1" w:styleId="eop">
    <w:name w:val="eop"/>
    <w:basedOn w:val="DefaultParagraphFont"/>
    <w:rsid w:val="00293828"/>
  </w:style>
  <w:style w:type="paragraph" w:customStyle="1" w:styleId="paragraph">
    <w:name w:val="paragraph"/>
    <w:basedOn w:val="Normal"/>
    <w:rsid w:val="0029382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A02E6"/>
    <w:rPr>
      <w:color w:val="666666"/>
    </w:rPr>
  </w:style>
  <w:style w:type="paragraph" w:styleId="Caption">
    <w:name w:val="caption"/>
    <w:basedOn w:val="Normal"/>
    <w:next w:val="Normal"/>
    <w:uiPriority w:val="35"/>
    <w:unhideWhenUsed/>
    <w:qFormat/>
    <w:rsid w:val="00782811"/>
    <w:pPr>
      <w:spacing w:after="200"/>
    </w:pPr>
    <w:rPr>
      <w:i/>
      <w:iCs/>
      <w:color w:val="44546A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66657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4B0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5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6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8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1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4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4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3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12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3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0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8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8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1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8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02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2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10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 Form Template" ma:contentTypeID="0x010100F8EF98760CBA4A94994F13BA881038FA00535C0BA2BC85EB418479F241665C9DBF" ma:contentTypeVersion="0" ma:contentTypeDescription="A Microsoft InfoPath Form Template." ma:contentTypeScope="" ma:versionID="dd75a2b93d8008d82e52e1c436948b5a">
  <xsd:schema xmlns:xsd="http://www.w3.org/2001/XMLSchema" xmlns:xs="http://www.w3.org/2001/XMLSchema" xmlns:p="http://schemas.microsoft.com/office/2006/metadata/properties" xmlns:ns2="51c27a8c-5fee-469a-bc01-c7a584e9f12f" targetNamespace="http://schemas.microsoft.com/office/2006/metadata/properties" ma:root="true" ma:fieldsID="48c5b781b7a924d5312c065567f936ba" ns2:_="">
    <xsd:import namespace="51c27a8c-5fee-469a-bc01-c7a584e9f12f"/>
    <xsd:element name="properties">
      <xsd:complexType>
        <xsd:sequence>
          <xsd:element name="documentManagement">
            <xsd:complexType>
              <xsd:all>
                <xsd:element ref="ns2:CustomContentTyp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27a8c-5fee-469a-bc01-c7a584e9f12f" elementFormDefault="qualified">
    <xsd:import namespace="http://schemas.microsoft.com/office/2006/documentManagement/types"/>
    <xsd:import namespace="http://schemas.microsoft.com/office/infopath/2007/PartnerControls"/>
    <xsd:element name="CustomContentTypeId" ma:index="8" nillable="true" ma:displayName="Content Type ID" ma:hidden="true" ma:internalName="CustomContentType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stomContentTypeId xmlns="51c27a8c-5fee-469a-bc01-c7a584e9f12f" xsi:nil="true"/>
  </documentManagement>
</p:properties>
</file>

<file path=customXml/itemProps1.xml><?xml version="1.0" encoding="utf-8"?>
<ds:datastoreItem xmlns:ds="http://schemas.openxmlformats.org/officeDocument/2006/customXml" ds:itemID="{22AB1F64-F5F2-4C58-94BA-D7F77454F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27a8c-5fee-469a-bc01-c7a584e9f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0FFF3-92B2-4AAF-8719-5E93D6909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A5C10D-DE99-4C2B-89CA-4269A5381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4DC163-0CA1-4F08-B95E-1DF21154A84C}">
  <ds:schemaRefs>
    <ds:schemaRef ds:uri="http://schemas.microsoft.com/office/2006/metadata/properties"/>
    <ds:schemaRef ds:uri="http://schemas.microsoft.com/office/infopath/2007/PartnerControls"/>
    <ds:schemaRef ds:uri="51c27a8c-5fee-469a-bc01-c7a584e9f12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DEQ Fact Sheet</vt:lpstr>
    </vt:vector>
  </TitlesOfParts>
  <Company/>
  <LinksUpToDate>false</LinksUpToDate>
  <CharactersWithSpaces>1825</CharactersWithSpaces>
  <SharedDoc>false</SharedDoc>
  <HLinks>
    <vt:vector size="6" baseType="variant">
      <vt:variant>
        <vt:i4>6684780</vt:i4>
      </vt:variant>
      <vt:variant>
        <vt:i4>3</vt:i4>
      </vt:variant>
      <vt:variant>
        <vt:i4>0</vt:i4>
      </vt:variant>
      <vt:variant>
        <vt:i4>5</vt:i4>
      </vt:variant>
      <vt:variant>
        <vt:lpwstr>https://deq.mt.gov/Portals/112/Water/WPB/SWP/PDFs/SaniWellCapsVent.pdf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DEQ Fact Sheet</dc:title>
  <dc:subject/>
  <dc:creator>Veith, Kamryn</dc:creator>
  <cp:keywords/>
  <dc:description/>
  <cp:lastModifiedBy>Veith, Kamy</cp:lastModifiedBy>
  <cp:revision>2</cp:revision>
  <dcterms:created xsi:type="dcterms:W3CDTF">2025-12-08T16:45:00Z</dcterms:created>
  <dcterms:modified xsi:type="dcterms:W3CDTF">2025-12-08T16:45:00Z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0x010100F8EF98760CBA4A94994F13BA881038FA00535C0BA2BC85EB418479F241665C9DBF</vt:lpwstr>
  </property>
  <property fmtid="{D5CDD505-2E9C-101B-9397-08002B2CF9AE}" pid="3" name="Guidance Owner">
    <vt:lpwstr>Policy</vt:lpwstr>
  </property>
  <property fmtid="{D5CDD505-2E9C-101B-9397-08002B2CF9AE}" pid="4" name="Guidance Type">
    <vt:lpwstr>POL – Comms</vt:lpwstr>
  </property>
  <property fmtid="{D5CDD505-2E9C-101B-9397-08002B2CF9AE}" pid="5" name="Guidance Description">
    <vt:lpwstr>Branded fact sheet template for programs to describe their projects externally to stakeholders and the public. Template is digitally accessible.</vt:lpwstr>
  </property>
</Properties>
</file>